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r w:rsidDel="00000000" w:rsidR="00000000" w:rsidRPr="00000000">
        <w:rPr>
          <w:rtl w:val="0"/>
        </w:rPr>
        <w:t xml:space="preserve">Siac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School Improvement Advisory Committee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 Oak Community School District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</w:rPr>
      </w:pPr>
      <w:r w:rsidDel="00000000" w:rsidR="00000000" w:rsidRPr="00000000">
        <w:rPr>
          <w:b w:val="0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November 10,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6:00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8"/>
          <w:szCs w:val="28"/>
          <w:rtl w:val="0"/>
        </w:rPr>
        <w:t xml:space="preserve">Red Oak Jr/Sr High Commons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Facilitator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Ron Lorenz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f16e0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 Review –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ISASP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FAST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ACT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Conditions for Learning Survey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Implementation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Academics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Conditions for Learning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Operations &amp; Innovation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Small Group Break Outs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Next Meeting Date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March 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6:00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8"/>
          <w:szCs w:val="28"/>
          <w:rtl w:val="0"/>
        </w:rPr>
        <w:t xml:space="preserve">Jr/Sr High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028" y="0"/>
                        <a:ext cx="9719945" cy="10297795"/>
                        <a:chOff x="486028" y="0"/>
                        <a:chExt cx="9719945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0" y="0"/>
                          <a:chExt cx="9716770" cy="1029836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716750" cy="1029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1940" y="0"/>
                            <a:ext cx="7851390" cy="2019169"/>
                          </a:xfrm>
                          <a:custGeom>
                            <a:rect b="b" l="l" r="r" t="t"/>
                            <a:pathLst>
                              <a:path extrusionOk="0" h="1388533" w="5350933">
                                <a:moveTo>
                                  <a:pt x="5640" y="5640"/>
                                </a:moveTo>
                                <a:lnTo>
                                  <a:pt x="5345567" y="5640"/>
                                </a:lnTo>
                                <a:lnTo>
                                  <a:pt x="5345567" y="1384014"/>
                                </a:lnTo>
                                <a:lnTo>
                                  <a:pt x="5640" y="1384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5448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4676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97180" y="9326880"/>
                            <a:ext cx="7839320" cy="971487"/>
                          </a:xfrm>
                          <a:custGeom>
                            <a:rect b="b" l="l" r="r" t="t"/>
                            <a:pathLst>
                              <a:path extrusionOk="0" h="1041399" w="5342466">
                                <a:moveTo>
                                  <a:pt x="5640" y="5640"/>
                                </a:moveTo>
                                <a:lnTo>
                                  <a:pt x="5339640" y="5640"/>
                                </a:lnTo>
                                <a:lnTo>
                                  <a:pt x="5339640" y="1036880"/>
                                </a:lnTo>
                                <a:lnTo>
                                  <a:pt x="5640" y="103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62000" y="838200"/>
                            <a:ext cx="0" cy="8322907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 w:val="1"/>
    <w:rsid w:val="00AB4981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 w:val="1"/>
    <w:qFormat w:val="1"/>
    <w:pPr>
      <w:keepNext w:val="1"/>
      <w:keepLines w:val="1"/>
      <w:spacing w:after="80" w:before="200"/>
      <w:outlineLvl w:val="1"/>
    </w:pPr>
    <w:rPr>
      <w:rFonts w:asciiTheme="majorHAnsi" w:cstheme="majorBidi" w:eastAsiaTheme="majorEastAsia" w:hAnsiTheme="majorHAnsi"/>
      <w:color w:val="f16e01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6"/>
    <w:qFormat w:val="1"/>
    <w:rsid w:val="00AB4981"/>
    <w:pPr>
      <w:spacing w:after="480"/>
      <w:contextualSpacing w:val="1"/>
    </w:pPr>
    <w:rPr>
      <w:rFonts w:asciiTheme="majorHAnsi" w:hAnsiTheme="majorHAnsi"/>
      <w:b w:val="1"/>
      <w:caps w:val="1"/>
      <w:color w:val="auto"/>
      <w:sz w:val="52"/>
    </w:rPr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1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f16e01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ListParagraph">
    <w:name w:val="List Paragraph"/>
    <w:basedOn w:val="Normal"/>
    <w:uiPriority w:val="34"/>
    <w:unhideWhenUsed w:val="1"/>
    <w:qFormat w:val="1"/>
    <w:rsid w:val="00390A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BwTGXUmw6IssCzzSvG+JxzxJw==">AMUW2mWY/VFkvCXFBdUlKaGO7Mc/TLagkMXh0ksimKozU7hLzejmzK6z4lyXkMdHf74G1mctLgtu/OMazJH/sOhpBSiXyZV3U3gTf05YHomcjMjZ9CEnlcFZKYgRGOBIjrTAp1ljd1od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2019-02-01T20:01:00Z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